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20667" w14:textId="77777777" w:rsidR="00B1115B" w:rsidRPr="00B1115B" w:rsidRDefault="00B1115B" w:rsidP="00C945E7">
      <w:pPr>
        <w:pStyle w:val="MSGENFONTSTYLENAMETEMPLATEROLENUMBERMSGENFONTSTYLENAMEBYROLETEXT20"/>
        <w:shd w:val="clear" w:color="auto" w:fill="auto"/>
        <w:spacing w:before="0" w:after="0" w:line="276" w:lineRule="auto"/>
        <w:jc w:val="both"/>
        <w:rPr>
          <w:rFonts w:ascii="Times New Roman" w:hAnsi="Times New Roman" w:cs="Times New Roman"/>
          <w:sz w:val="24"/>
        </w:rPr>
      </w:pPr>
      <w:bookmarkStart w:id="0" w:name="_Hlk522875917"/>
      <w:bookmarkStart w:id="1" w:name="_GoBack"/>
      <w:bookmarkEnd w:id="1"/>
      <w:r w:rsidRPr="00B1115B">
        <w:rPr>
          <w:rFonts w:ascii="Times New Roman" w:hAnsi="Times New Roman" w:cs="Times New Roman"/>
          <w:noProof/>
          <w:sz w:val="24"/>
        </w:rPr>
        <w:drawing>
          <wp:anchor distT="0" distB="0" distL="114300" distR="114300" simplePos="0" relativeHeight="251659264" behindDoc="0" locked="0" layoutInCell="1" allowOverlap="1" wp14:anchorId="2A5C8798" wp14:editId="36D04B9D">
            <wp:simplePos x="0" y="0"/>
            <wp:positionH relativeFrom="margin">
              <wp:align>center</wp:align>
            </wp:positionH>
            <wp:positionV relativeFrom="margin">
              <wp:posOffset>-342900</wp:posOffset>
            </wp:positionV>
            <wp:extent cx="2238375" cy="14097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1409700"/>
                    </a:xfrm>
                    <a:prstGeom prst="rect">
                      <a:avLst/>
                    </a:prstGeom>
                    <a:noFill/>
                    <a:ln w="9525">
                      <a:noFill/>
                      <a:miter lim="800000"/>
                      <a:headEnd/>
                      <a:tailEnd/>
                    </a:ln>
                  </pic:spPr>
                </pic:pic>
              </a:graphicData>
            </a:graphic>
          </wp:anchor>
        </w:drawing>
      </w:r>
    </w:p>
    <w:bookmarkEnd w:id="0"/>
    <w:p w14:paraId="6E305761" w14:textId="527D8F0F" w:rsidR="000A0196" w:rsidRPr="00FF27F4" w:rsidRDefault="000A0196" w:rsidP="00C945E7">
      <w:pPr>
        <w:pStyle w:val="MSGENFONTSTYLENAMETEMPLATEROLENUMBERMSGENFONTSTYLENAMEBYROLETEXT20"/>
        <w:shd w:val="clear" w:color="auto" w:fill="auto"/>
        <w:spacing w:before="0" w:after="0" w:line="276" w:lineRule="auto"/>
        <w:jc w:val="center"/>
        <w:rPr>
          <w:b/>
          <w:sz w:val="32"/>
        </w:rPr>
      </w:pPr>
      <w:r>
        <w:rPr>
          <w:b/>
          <w:sz w:val="32"/>
        </w:rPr>
        <w:t>Trade Secrets and Confidential Proprietary Information</w:t>
      </w:r>
    </w:p>
    <w:p w14:paraId="4F95221E" w14:textId="32E45E22" w:rsidR="000A0196" w:rsidRPr="00FF27F4" w:rsidRDefault="000A0196" w:rsidP="00C945E7">
      <w:pPr>
        <w:pStyle w:val="MSGENFONTSTYLENAMETEMPLATEROLENUMBERMSGENFONTSTYLENAMEBYROLETEXT20"/>
        <w:shd w:val="clear" w:color="auto" w:fill="auto"/>
        <w:spacing w:before="0" w:after="0" w:line="276" w:lineRule="auto"/>
        <w:jc w:val="center"/>
        <w:rPr>
          <w:i/>
        </w:rPr>
      </w:pPr>
      <w:r w:rsidRPr="00FF27F4">
        <w:rPr>
          <w:i/>
        </w:rPr>
        <w:t xml:space="preserve">Updated </w:t>
      </w:r>
      <w:r w:rsidR="00C945E7">
        <w:rPr>
          <w:i/>
        </w:rPr>
        <w:t>June 16, 2020</w:t>
      </w:r>
    </w:p>
    <w:p w14:paraId="274AB8BC" w14:textId="77777777" w:rsidR="000A0196" w:rsidRPr="00F70AD0" w:rsidRDefault="000A0196" w:rsidP="00C945E7">
      <w:pPr>
        <w:spacing w:line="276" w:lineRule="auto"/>
        <w:jc w:val="both"/>
      </w:pPr>
    </w:p>
    <w:p w14:paraId="144299C1" w14:textId="29430C39" w:rsidR="00F70AD0" w:rsidRDefault="00F70AD0" w:rsidP="00C945E7">
      <w:pPr>
        <w:spacing w:line="276" w:lineRule="auto"/>
        <w:jc w:val="both"/>
      </w:pPr>
      <w:r>
        <w:t>T</w:t>
      </w:r>
      <w:r w:rsidRPr="00F70AD0">
        <w:t xml:space="preserve">he </w:t>
      </w:r>
      <w:r w:rsidRPr="00E926E6">
        <w:t>Right-to-Know Law, 65 P.S. § 67.101</w:t>
      </w:r>
      <w:r w:rsidR="00353DAA" w:rsidRPr="003119C5">
        <w:t xml:space="preserve">, </w:t>
      </w:r>
      <w:r w:rsidR="00B27122" w:rsidRPr="004B355A">
        <w:rPr>
          <w:i/>
        </w:rPr>
        <w:t>et seq.</w:t>
      </w:r>
      <w:r w:rsidR="00353DAA" w:rsidRPr="00E926E6">
        <w:t xml:space="preserve"> </w:t>
      </w:r>
      <w:r w:rsidRPr="00E926E6">
        <w:t>(“RTKL”)</w:t>
      </w:r>
      <w:r>
        <w:t xml:space="preserve">, includes specific provisions which come into play when </w:t>
      </w:r>
      <w:r w:rsidRPr="00F70AD0">
        <w:t xml:space="preserve">a request seeks records involving trade secrets and confidential proprietary information that have been provided to </w:t>
      </w:r>
      <w:r>
        <w:t xml:space="preserve">an agency </w:t>
      </w:r>
      <w:r w:rsidRPr="00F70AD0">
        <w:t>by a third</w:t>
      </w:r>
      <w:r>
        <w:t xml:space="preserve"> </w:t>
      </w:r>
      <w:r w:rsidRPr="00F70AD0">
        <w:t>party</w:t>
      </w:r>
      <w:r>
        <w:t>. The Office of Open Records (“OOR</w:t>
      </w:r>
      <w:r w:rsidR="00353DAA">
        <w:t>”</w:t>
      </w:r>
      <w:r>
        <w:t>) developed this guide to help agencies handle such requests appropriately.</w:t>
      </w:r>
    </w:p>
    <w:p w14:paraId="61CD8E82" w14:textId="77777777" w:rsidR="00F70AD0" w:rsidRDefault="00F70AD0" w:rsidP="00C945E7">
      <w:pPr>
        <w:spacing w:line="276" w:lineRule="auto"/>
        <w:jc w:val="both"/>
      </w:pPr>
    </w:p>
    <w:p w14:paraId="156473A1" w14:textId="53A207CF" w:rsidR="00AA5DD7" w:rsidRPr="00F70AD0" w:rsidRDefault="00F70AD0" w:rsidP="00C945E7">
      <w:pPr>
        <w:spacing w:line="276" w:lineRule="auto"/>
        <w:jc w:val="both"/>
      </w:pPr>
      <w:r>
        <w:t xml:space="preserve">The RTKL </w:t>
      </w:r>
      <w:r w:rsidR="00AA5DD7" w:rsidRPr="00F70AD0">
        <w:t xml:space="preserve">requires an </w:t>
      </w:r>
      <w:r>
        <w:t>a</w:t>
      </w:r>
      <w:r w:rsidR="00AA5DD7" w:rsidRPr="00F70AD0">
        <w:t>gency to notify a third</w:t>
      </w:r>
      <w:r>
        <w:t xml:space="preserve"> </w:t>
      </w:r>
      <w:r w:rsidR="00AA5DD7" w:rsidRPr="00F70AD0">
        <w:t xml:space="preserve">party when </w:t>
      </w:r>
      <w:r>
        <w:t>a request meets both of the following conditions (</w:t>
      </w:r>
      <w:r>
        <w:rPr>
          <w:i/>
        </w:rPr>
        <w:t>se</w:t>
      </w:r>
      <w:r w:rsidRPr="001E27F5">
        <w:rPr>
          <w:i/>
        </w:rPr>
        <w:t>e</w:t>
      </w:r>
      <w:r w:rsidRPr="001E27F5">
        <w:t xml:space="preserve"> 65 P.S. § 67.</w:t>
      </w:r>
      <w:r>
        <w:t>707</w:t>
      </w:r>
      <w:r w:rsidR="00FA5F72">
        <w:t>(b)</w:t>
      </w:r>
      <w:r>
        <w:t>)</w:t>
      </w:r>
      <w:r w:rsidR="00AA5DD7" w:rsidRPr="00F70AD0">
        <w:t>:</w:t>
      </w:r>
    </w:p>
    <w:p w14:paraId="49B4B68A" w14:textId="77777777" w:rsidR="00AA5DD7" w:rsidRPr="00F70AD0" w:rsidRDefault="00AA5DD7" w:rsidP="00C945E7">
      <w:pPr>
        <w:spacing w:line="276" w:lineRule="auto"/>
        <w:jc w:val="both"/>
      </w:pPr>
    </w:p>
    <w:p w14:paraId="3F2894D2" w14:textId="4A00E90F" w:rsidR="00F70AD0" w:rsidRDefault="00AA5DD7" w:rsidP="00C945E7">
      <w:pPr>
        <w:pStyle w:val="ListParagraph"/>
        <w:numPr>
          <w:ilvl w:val="0"/>
          <w:numId w:val="1"/>
        </w:numPr>
        <w:spacing w:line="276" w:lineRule="auto"/>
        <w:jc w:val="both"/>
      </w:pPr>
      <w:r w:rsidRPr="00F70AD0">
        <w:t>The third</w:t>
      </w:r>
      <w:r w:rsidR="00537323">
        <w:t xml:space="preserve"> </w:t>
      </w:r>
      <w:r w:rsidRPr="00F70AD0">
        <w:t>party provided the record</w:t>
      </w:r>
      <w:r w:rsidR="00F70AD0">
        <w:t>(s)</w:t>
      </w:r>
      <w:r w:rsidRPr="00F70AD0">
        <w:t xml:space="preserve"> to the </w:t>
      </w:r>
      <w:r w:rsidR="00F70AD0">
        <w:t>a</w:t>
      </w:r>
      <w:r w:rsidRPr="00F70AD0">
        <w:t>gency</w:t>
      </w:r>
      <w:r w:rsidR="00537323">
        <w:t xml:space="preserve">; </w:t>
      </w:r>
      <w:r w:rsidRPr="00F70AD0">
        <w:t>and</w:t>
      </w:r>
    </w:p>
    <w:p w14:paraId="07DF1180" w14:textId="77777777" w:rsidR="00F70AD0" w:rsidRDefault="00F70AD0" w:rsidP="00C945E7">
      <w:pPr>
        <w:pStyle w:val="ListParagraph"/>
        <w:spacing w:line="276" w:lineRule="auto"/>
        <w:jc w:val="both"/>
      </w:pPr>
    </w:p>
    <w:p w14:paraId="6B0D850A" w14:textId="4C1FA1E1" w:rsidR="00AA5DD7" w:rsidRPr="00F70AD0" w:rsidRDefault="00F70AD0" w:rsidP="00C945E7">
      <w:pPr>
        <w:pStyle w:val="ListParagraph"/>
        <w:numPr>
          <w:ilvl w:val="0"/>
          <w:numId w:val="1"/>
        </w:numPr>
        <w:spacing w:line="276" w:lineRule="auto"/>
        <w:jc w:val="both"/>
      </w:pPr>
      <w:r>
        <w:t>T</w:t>
      </w:r>
      <w:r w:rsidR="00AA5DD7" w:rsidRPr="00F70AD0">
        <w:t>he third</w:t>
      </w:r>
      <w:r w:rsidR="00537323">
        <w:t xml:space="preserve"> </w:t>
      </w:r>
      <w:r w:rsidR="00AA5DD7" w:rsidRPr="00F70AD0">
        <w:t>party included a written statement signed by a representative of the third</w:t>
      </w:r>
      <w:r w:rsidR="00537323">
        <w:t xml:space="preserve"> </w:t>
      </w:r>
      <w:r w:rsidR="00AA5DD7" w:rsidRPr="00F70AD0">
        <w:t>party stating that the record contains a trade secret or confidential proprietary information.</w:t>
      </w:r>
    </w:p>
    <w:p w14:paraId="00B5CB25" w14:textId="77777777" w:rsidR="00AA5DD7" w:rsidRPr="00F70AD0" w:rsidRDefault="00AA5DD7" w:rsidP="00C945E7">
      <w:pPr>
        <w:spacing w:line="276" w:lineRule="auto"/>
        <w:jc w:val="both"/>
      </w:pPr>
    </w:p>
    <w:p w14:paraId="593F08DB" w14:textId="24F2CE70" w:rsidR="00AA5DD7" w:rsidRPr="00F70AD0" w:rsidRDefault="00F70AD0" w:rsidP="00C945E7">
      <w:pPr>
        <w:spacing w:line="276" w:lineRule="auto"/>
        <w:jc w:val="both"/>
        <w:rPr>
          <w:b/>
          <w:u w:val="single"/>
        </w:rPr>
      </w:pPr>
      <w:r>
        <w:rPr>
          <w:b/>
          <w:u w:val="single"/>
        </w:rPr>
        <w:t>Providing notice to a third party and receiving input from the third party</w:t>
      </w:r>
    </w:p>
    <w:p w14:paraId="62439F29" w14:textId="77777777" w:rsidR="00AA5DD7" w:rsidRPr="00F70AD0" w:rsidRDefault="00AA5DD7" w:rsidP="00C945E7">
      <w:pPr>
        <w:spacing w:line="276" w:lineRule="auto"/>
        <w:jc w:val="both"/>
      </w:pPr>
    </w:p>
    <w:p w14:paraId="573DD8E3" w14:textId="51294A89" w:rsidR="00AA5DD7" w:rsidRPr="00F70AD0" w:rsidRDefault="00F70AD0" w:rsidP="00C945E7">
      <w:pPr>
        <w:spacing w:line="276" w:lineRule="auto"/>
        <w:jc w:val="both"/>
      </w:pPr>
      <w:r>
        <w:t xml:space="preserve">After receiving such a request, the agency </w:t>
      </w:r>
      <w:r w:rsidR="002D766F" w:rsidRPr="00F70AD0">
        <w:t xml:space="preserve">should </w:t>
      </w:r>
      <w:r>
        <w:t xml:space="preserve">– within five business days – invoke </w:t>
      </w:r>
      <w:r w:rsidR="002D766F" w:rsidRPr="00F70AD0">
        <w:t>a 30</w:t>
      </w:r>
      <w:r>
        <w:t xml:space="preserve"> c</w:t>
      </w:r>
      <w:r w:rsidR="002D766F" w:rsidRPr="00F70AD0">
        <w:t>alenda</w:t>
      </w:r>
      <w:r w:rsidR="00AA5DD7" w:rsidRPr="00F70AD0">
        <w:t xml:space="preserve">r </w:t>
      </w:r>
      <w:r>
        <w:t xml:space="preserve">day </w:t>
      </w:r>
      <w:r w:rsidR="00AA5DD7" w:rsidRPr="00F70AD0">
        <w:t xml:space="preserve">extension </w:t>
      </w:r>
      <w:r>
        <w:t xml:space="preserve">for responding to the request </w:t>
      </w:r>
      <w:r w:rsidR="00AA5DD7" w:rsidRPr="00F70AD0">
        <w:t xml:space="preserve">and notify the requester of the extension </w:t>
      </w:r>
      <w:r>
        <w:t>(</w:t>
      </w:r>
      <w:r>
        <w:rPr>
          <w:i/>
        </w:rPr>
        <w:t>se</w:t>
      </w:r>
      <w:r w:rsidRPr="001E27F5">
        <w:rPr>
          <w:i/>
        </w:rPr>
        <w:t>e</w:t>
      </w:r>
      <w:r w:rsidRPr="001E27F5">
        <w:t xml:space="preserve"> 65 P.S. § 67.</w:t>
      </w:r>
      <w:r>
        <w:t>902).</w:t>
      </w:r>
    </w:p>
    <w:p w14:paraId="7AB65301" w14:textId="77777777" w:rsidR="00AA5DD7" w:rsidRPr="00F70AD0" w:rsidRDefault="00AA5DD7" w:rsidP="00C945E7">
      <w:pPr>
        <w:spacing w:line="276" w:lineRule="auto"/>
        <w:jc w:val="both"/>
      </w:pPr>
    </w:p>
    <w:p w14:paraId="3F9B45B3" w14:textId="7F51EC1B" w:rsidR="00AA5DD7" w:rsidRPr="00F70AD0" w:rsidRDefault="00F70AD0" w:rsidP="00C945E7">
      <w:pPr>
        <w:spacing w:line="276" w:lineRule="auto"/>
        <w:jc w:val="both"/>
      </w:pPr>
      <w:r>
        <w:t xml:space="preserve">Also within five business days of receiving the request, the agency must </w:t>
      </w:r>
      <w:r w:rsidR="00AA5DD7" w:rsidRPr="00F70AD0">
        <w:t>provide notice to the third</w:t>
      </w:r>
      <w:r>
        <w:t xml:space="preserve"> </w:t>
      </w:r>
      <w:r w:rsidR="00AA5DD7" w:rsidRPr="00F70AD0">
        <w:t xml:space="preserve">party. (While this section of the law does not </w:t>
      </w:r>
      <w:r>
        <w:t xml:space="preserve">specifically require </w:t>
      </w:r>
      <w:r w:rsidR="00AA5DD7" w:rsidRPr="00F70AD0">
        <w:t xml:space="preserve">that the notice be in writing, the </w:t>
      </w:r>
      <w:r>
        <w:t xml:space="preserve">OOR strongly </w:t>
      </w:r>
      <w:r w:rsidR="00AA5DD7" w:rsidRPr="00F70AD0">
        <w:t>recommends that the notice be in writing.)</w:t>
      </w:r>
    </w:p>
    <w:p w14:paraId="42CDB314" w14:textId="77777777" w:rsidR="00AA5DD7" w:rsidRPr="00F70AD0" w:rsidRDefault="00AA5DD7" w:rsidP="00C945E7">
      <w:pPr>
        <w:spacing w:line="276" w:lineRule="auto"/>
        <w:jc w:val="both"/>
      </w:pPr>
    </w:p>
    <w:p w14:paraId="685BD1F1" w14:textId="7DCF34A6" w:rsidR="00AA5DD7" w:rsidRPr="00F70AD0" w:rsidRDefault="00F70AD0" w:rsidP="00C945E7">
      <w:pPr>
        <w:spacing w:line="276" w:lineRule="auto"/>
        <w:jc w:val="both"/>
      </w:pPr>
      <w:r>
        <w:t xml:space="preserve">Once the notification is received by the third party, it has five business days </w:t>
      </w:r>
      <w:r w:rsidR="00AA5DD7" w:rsidRPr="00F70AD0">
        <w:t xml:space="preserve">to provide input </w:t>
      </w:r>
      <w:r>
        <w:t xml:space="preserve">to the agency regarding </w:t>
      </w:r>
      <w:r w:rsidR="00AA5DD7" w:rsidRPr="00F70AD0">
        <w:t>the release of the record.</w:t>
      </w:r>
    </w:p>
    <w:p w14:paraId="2591F5ED" w14:textId="77777777" w:rsidR="00AA5DD7" w:rsidRPr="00F70AD0" w:rsidRDefault="00AA5DD7" w:rsidP="00C945E7">
      <w:pPr>
        <w:spacing w:line="276" w:lineRule="auto"/>
        <w:jc w:val="both"/>
      </w:pPr>
    </w:p>
    <w:p w14:paraId="31F77DCE" w14:textId="112242F5" w:rsidR="00AA5DD7" w:rsidRDefault="00AA5DD7" w:rsidP="00C945E7">
      <w:pPr>
        <w:spacing w:line="276" w:lineRule="auto"/>
        <w:jc w:val="both"/>
      </w:pPr>
      <w:r w:rsidRPr="00F70AD0">
        <w:t xml:space="preserve">Within </w:t>
      </w:r>
      <w:r w:rsidR="00FA5F72">
        <w:t xml:space="preserve">ten </w:t>
      </w:r>
      <w:r w:rsidRPr="00F70AD0">
        <w:t xml:space="preserve">business days from the date the </w:t>
      </w:r>
      <w:r w:rsidR="00353DAA">
        <w:t>a</w:t>
      </w:r>
      <w:r w:rsidRPr="00F70AD0">
        <w:t>gency provided notice to the third</w:t>
      </w:r>
      <w:r w:rsidR="00FA5F72">
        <w:t xml:space="preserve"> </w:t>
      </w:r>
      <w:r w:rsidRPr="00F70AD0">
        <w:t xml:space="preserve">party, the </w:t>
      </w:r>
      <w:r w:rsidR="00FA5F72">
        <w:t>a</w:t>
      </w:r>
      <w:r w:rsidRPr="00F70AD0">
        <w:t xml:space="preserve">gency </w:t>
      </w:r>
      <w:r w:rsidR="00FA5F72">
        <w:t xml:space="preserve">must </w:t>
      </w:r>
      <w:r w:rsidRPr="00F70AD0">
        <w:t xml:space="preserve">either </w:t>
      </w:r>
      <w:r w:rsidR="00FA5F72">
        <w:t xml:space="preserve">grant or deny access to the </w:t>
      </w:r>
      <w:r w:rsidRPr="00F70AD0">
        <w:t xml:space="preserve">record </w:t>
      </w:r>
      <w:r w:rsidR="00FA5F72">
        <w:t>(in whole or in part)</w:t>
      </w:r>
      <w:r w:rsidRPr="00F70AD0">
        <w:t xml:space="preserve">. </w:t>
      </w:r>
      <w:r w:rsidR="00FA5F72">
        <w:t>This is done in writing to the requester in the same way as any other grant or denial under the RTKL. The agency should also send the third party a copy of the response.</w:t>
      </w:r>
    </w:p>
    <w:p w14:paraId="2BB35C50" w14:textId="77777777" w:rsidR="00B1115B" w:rsidRDefault="00B1115B" w:rsidP="00C945E7">
      <w:pPr>
        <w:spacing w:line="276" w:lineRule="auto"/>
        <w:rPr>
          <w:b/>
          <w:u w:val="single"/>
        </w:rPr>
      </w:pPr>
      <w:r>
        <w:rPr>
          <w:b/>
          <w:u w:val="single"/>
        </w:rPr>
        <w:br w:type="page"/>
      </w:r>
    </w:p>
    <w:p w14:paraId="3A047D7B" w14:textId="744C3C54" w:rsidR="00FA5F72" w:rsidRPr="00FA5F72" w:rsidRDefault="00FA5F72" w:rsidP="00C945E7">
      <w:pPr>
        <w:spacing w:line="276" w:lineRule="auto"/>
        <w:jc w:val="both"/>
        <w:rPr>
          <w:b/>
          <w:u w:val="single"/>
        </w:rPr>
      </w:pPr>
      <w:r w:rsidRPr="00FA5F72">
        <w:rPr>
          <w:b/>
          <w:u w:val="single"/>
        </w:rPr>
        <w:lastRenderedPageBreak/>
        <w:t>What constitutes a trade secret or confidential proprietary information</w:t>
      </w:r>
    </w:p>
    <w:p w14:paraId="38A18E83" w14:textId="77777777" w:rsidR="00FA5F72" w:rsidRPr="00F70AD0" w:rsidRDefault="00FA5F72" w:rsidP="00C945E7">
      <w:pPr>
        <w:spacing w:line="276" w:lineRule="auto"/>
        <w:jc w:val="both"/>
      </w:pPr>
    </w:p>
    <w:p w14:paraId="620069B5" w14:textId="22A6754C" w:rsidR="00FA5F72" w:rsidRDefault="00FA5F72" w:rsidP="00C945E7">
      <w:pPr>
        <w:spacing w:line="276" w:lineRule="auto"/>
        <w:jc w:val="both"/>
      </w:pPr>
      <w:r>
        <w:t xml:space="preserve">The mere fact that </w:t>
      </w:r>
      <w:r w:rsidR="00AA5DD7" w:rsidRPr="00F70AD0">
        <w:t>a third</w:t>
      </w:r>
      <w:r>
        <w:t xml:space="preserve"> </w:t>
      </w:r>
      <w:r w:rsidR="00AA5DD7" w:rsidRPr="00F70AD0">
        <w:t xml:space="preserve">party </w:t>
      </w:r>
      <w:r>
        <w:t xml:space="preserve">declares </w:t>
      </w:r>
      <w:r w:rsidR="00AA5DD7" w:rsidRPr="00F70AD0">
        <w:t>a record</w:t>
      </w:r>
      <w:r w:rsidR="00353DAA">
        <w:t xml:space="preserve"> (or a portion of a record)</w:t>
      </w:r>
      <w:r w:rsidR="00AA5DD7" w:rsidRPr="00F70AD0">
        <w:t xml:space="preserve"> </w:t>
      </w:r>
      <w:r>
        <w:t xml:space="preserve">to be </w:t>
      </w:r>
      <w:r w:rsidR="00AA5DD7" w:rsidRPr="00F70AD0">
        <w:t xml:space="preserve">a trade secret or confidential proprietary information does not </w:t>
      </w:r>
      <w:r>
        <w:t>necessarily make it so. The RTKL includes specific definitions for “confidential proprietary information” and “trade secret”:</w:t>
      </w:r>
    </w:p>
    <w:p w14:paraId="7A59E69D" w14:textId="77777777" w:rsidR="00FA5F72" w:rsidRDefault="00FA5F72" w:rsidP="00C945E7">
      <w:pPr>
        <w:spacing w:line="276" w:lineRule="auto"/>
        <w:jc w:val="both"/>
      </w:pPr>
    </w:p>
    <w:p w14:paraId="5807A8CF" w14:textId="55996F91" w:rsidR="00FA5F72" w:rsidRPr="00353DAA" w:rsidRDefault="00FA5F72" w:rsidP="00C945E7">
      <w:pPr>
        <w:spacing w:line="276" w:lineRule="auto"/>
        <w:jc w:val="both"/>
        <w:rPr>
          <w:i/>
        </w:rPr>
      </w:pPr>
      <w:r w:rsidRPr="00353DAA">
        <w:rPr>
          <w:i/>
        </w:rPr>
        <w:t>“Confidential proprietary information.” Commercial or financial information received by an Agency:</w:t>
      </w:r>
    </w:p>
    <w:p w14:paraId="1A081477" w14:textId="426CE6A5" w:rsidR="00FA5F72" w:rsidRPr="00353DAA" w:rsidRDefault="00FA5F72" w:rsidP="00C945E7">
      <w:pPr>
        <w:pStyle w:val="ListParagraph"/>
        <w:numPr>
          <w:ilvl w:val="0"/>
          <w:numId w:val="2"/>
        </w:numPr>
        <w:spacing w:line="276" w:lineRule="auto"/>
        <w:jc w:val="both"/>
        <w:rPr>
          <w:i/>
        </w:rPr>
      </w:pPr>
      <w:r w:rsidRPr="00353DAA">
        <w:rPr>
          <w:i/>
        </w:rPr>
        <w:t>which is privileged or confidential; and</w:t>
      </w:r>
    </w:p>
    <w:p w14:paraId="3B4C9E93" w14:textId="6F752A8F" w:rsidR="00FA5F72" w:rsidRPr="00353DAA" w:rsidRDefault="00FA5F72" w:rsidP="00C945E7">
      <w:pPr>
        <w:pStyle w:val="ListParagraph"/>
        <w:numPr>
          <w:ilvl w:val="0"/>
          <w:numId w:val="2"/>
        </w:numPr>
        <w:spacing w:line="276" w:lineRule="auto"/>
        <w:jc w:val="both"/>
        <w:rPr>
          <w:i/>
        </w:rPr>
      </w:pPr>
      <w:r w:rsidRPr="00353DAA">
        <w:rPr>
          <w:i/>
        </w:rPr>
        <w:t>the disclosure of which would cause substantial harm to the competitive position of the person that submitted the information.</w:t>
      </w:r>
    </w:p>
    <w:p w14:paraId="2349C5FA" w14:textId="77777777" w:rsidR="00FA5F72" w:rsidRPr="00353DAA" w:rsidRDefault="00FA5F72" w:rsidP="00C945E7">
      <w:pPr>
        <w:spacing w:line="276" w:lineRule="auto"/>
        <w:jc w:val="both"/>
        <w:rPr>
          <w:i/>
        </w:rPr>
      </w:pPr>
    </w:p>
    <w:p w14:paraId="29E480C4" w14:textId="466D8A58" w:rsidR="00AA5DD7" w:rsidRPr="00353DAA" w:rsidRDefault="00FA5F72" w:rsidP="00C945E7">
      <w:pPr>
        <w:spacing w:line="276" w:lineRule="auto"/>
        <w:jc w:val="both"/>
        <w:rPr>
          <w:i/>
        </w:rPr>
      </w:pPr>
      <w:r w:rsidRPr="00353DAA">
        <w:rPr>
          <w:i/>
        </w:rPr>
        <w:t>“</w:t>
      </w:r>
      <w:r w:rsidR="00893812" w:rsidRPr="00353DAA">
        <w:rPr>
          <w:i/>
        </w:rPr>
        <w:t>Trade secret</w:t>
      </w:r>
      <w:r w:rsidRPr="00353DAA">
        <w:rPr>
          <w:i/>
        </w:rPr>
        <w:t xml:space="preserve">.” </w:t>
      </w:r>
      <w:r w:rsidR="00AA5DD7" w:rsidRPr="00353DAA">
        <w:rPr>
          <w:i/>
        </w:rPr>
        <w:t>Information,</w:t>
      </w:r>
      <w:r w:rsidR="00893812" w:rsidRPr="00353DAA">
        <w:rPr>
          <w:i/>
        </w:rPr>
        <w:t xml:space="preserve"> </w:t>
      </w:r>
      <w:r w:rsidR="00AA5DD7" w:rsidRPr="00353DAA">
        <w:rPr>
          <w:i/>
        </w:rPr>
        <w:t>including a formula, drawing, pattern, compilation, including a customer list, program, device, method, technique or process that:</w:t>
      </w:r>
    </w:p>
    <w:p w14:paraId="4C3C4D78" w14:textId="77777777" w:rsidR="00FA5F72" w:rsidRPr="00353DAA" w:rsidRDefault="00FA5F72" w:rsidP="00C945E7">
      <w:pPr>
        <w:pStyle w:val="ListParagraph"/>
        <w:numPr>
          <w:ilvl w:val="0"/>
          <w:numId w:val="3"/>
        </w:numPr>
        <w:spacing w:line="276" w:lineRule="auto"/>
        <w:jc w:val="both"/>
        <w:rPr>
          <w:i/>
        </w:rPr>
      </w:pPr>
      <w:r w:rsidRPr="00353DAA">
        <w:rPr>
          <w:i/>
        </w:rPr>
        <w:t>d</w:t>
      </w:r>
      <w:r w:rsidR="00AA5DD7" w:rsidRPr="00353DAA">
        <w:rPr>
          <w:i/>
        </w:rPr>
        <w:t>erives independent economic value, actual or potential, from not being generally known to and not being readily ascertainable by proper means by other persons who can obtain economic value from its disclosure or use; and</w:t>
      </w:r>
    </w:p>
    <w:p w14:paraId="1E4CCFFC" w14:textId="77777777" w:rsidR="00FA5F72" w:rsidRPr="00353DAA" w:rsidRDefault="00FA5F72" w:rsidP="00C945E7">
      <w:pPr>
        <w:pStyle w:val="ListParagraph"/>
        <w:numPr>
          <w:ilvl w:val="0"/>
          <w:numId w:val="3"/>
        </w:numPr>
        <w:spacing w:line="276" w:lineRule="auto"/>
        <w:jc w:val="both"/>
        <w:rPr>
          <w:i/>
        </w:rPr>
      </w:pPr>
      <w:r w:rsidRPr="00353DAA">
        <w:rPr>
          <w:i/>
        </w:rPr>
        <w:t>i</w:t>
      </w:r>
      <w:r w:rsidR="00AA5DD7" w:rsidRPr="00353DAA">
        <w:rPr>
          <w:i/>
        </w:rPr>
        <w:t>s the subject of efforts that are reasonable under the circumstances to maintain its secrecy.</w:t>
      </w:r>
    </w:p>
    <w:p w14:paraId="2B33B88B" w14:textId="3A98833D" w:rsidR="00FA5F72" w:rsidRPr="00353DAA" w:rsidRDefault="00AA5DD7" w:rsidP="00C945E7">
      <w:pPr>
        <w:spacing w:line="276" w:lineRule="auto"/>
        <w:jc w:val="both"/>
        <w:rPr>
          <w:i/>
        </w:rPr>
      </w:pPr>
      <w:r w:rsidRPr="00353DAA">
        <w:rPr>
          <w:i/>
        </w:rPr>
        <w:t xml:space="preserve">The term </w:t>
      </w:r>
      <w:r w:rsidR="00840ACE" w:rsidRPr="00353DAA">
        <w:rPr>
          <w:i/>
        </w:rPr>
        <w:t>includes</w:t>
      </w:r>
      <w:r w:rsidRPr="00353DAA">
        <w:rPr>
          <w:i/>
        </w:rPr>
        <w:t xml:space="preserve"> data processing software obtained by an Agency under a licensing agreement prohibiting disclosure.</w:t>
      </w:r>
    </w:p>
    <w:p w14:paraId="53703E88" w14:textId="77777777" w:rsidR="00FA5F72" w:rsidRPr="00F70AD0" w:rsidRDefault="00FA5F72" w:rsidP="00C945E7">
      <w:pPr>
        <w:spacing w:line="276" w:lineRule="auto"/>
        <w:jc w:val="both"/>
      </w:pPr>
    </w:p>
    <w:p w14:paraId="37C893C1" w14:textId="759E5D9F" w:rsidR="00DA1925" w:rsidRPr="00DA1925" w:rsidRDefault="00DA1925" w:rsidP="00C945E7">
      <w:pPr>
        <w:spacing w:line="276" w:lineRule="auto"/>
        <w:jc w:val="both"/>
      </w:pPr>
      <w:r w:rsidRPr="00DA1925">
        <w:t>65 P.S. § 67.102.</w:t>
      </w:r>
      <w:r>
        <w:rPr>
          <w:i/>
        </w:rPr>
        <w:t xml:space="preserve"> S</w:t>
      </w:r>
      <w:r w:rsidRPr="00DA1925">
        <w:rPr>
          <w:i/>
        </w:rPr>
        <w:t>ee</w:t>
      </w:r>
      <w:r>
        <w:t xml:space="preserve">, </w:t>
      </w:r>
      <w:r w:rsidRPr="00DA1925">
        <w:rPr>
          <w:i/>
        </w:rPr>
        <w:t>e.g.</w:t>
      </w:r>
      <w:r>
        <w:t xml:space="preserve">, </w:t>
      </w:r>
      <w:r w:rsidRPr="00DA1925">
        <w:rPr>
          <w:i/>
        </w:rPr>
        <w:t>Commonwealth v. Eiseman</w:t>
      </w:r>
      <w:r w:rsidRPr="00DA1925">
        <w:t>, 85 A.3d 1117, 1128 (Pa. Commw. Ct. 2014)</w:t>
      </w:r>
      <w:r>
        <w:t xml:space="preserve"> (interpreting the term</w:t>
      </w:r>
      <w:r w:rsidR="00074BB2">
        <w:t xml:space="preserve"> “</w:t>
      </w:r>
      <w:r>
        <w:t>confidential proprietary information</w:t>
      </w:r>
      <w:r w:rsidR="00074BB2">
        <w:t>”</w:t>
      </w:r>
      <w:r>
        <w:t xml:space="preserve"> as defined in the RTKL)</w:t>
      </w:r>
      <w:r w:rsidRPr="00DA1925">
        <w:t xml:space="preserve">, </w:t>
      </w:r>
      <w:r w:rsidRPr="00DA1925">
        <w:rPr>
          <w:i/>
        </w:rPr>
        <w:t>rev’d in part</w:t>
      </w:r>
      <w:r w:rsidRPr="00DA1925">
        <w:t xml:space="preserve">, </w:t>
      </w:r>
      <w:r w:rsidRPr="00DA1925">
        <w:rPr>
          <w:i/>
        </w:rPr>
        <w:t>Pa. Dep’t of Pub. Welfare v. Eiseman</w:t>
      </w:r>
      <w:r w:rsidRPr="00DA1925">
        <w:t>, 125 A.3d 19 (Pa. 2015)</w:t>
      </w:r>
      <w:r>
        <w:t xml:space="preserve">; </w:t>
      </w:r>
      <w:r w:rsidRPr="00DA1925">
        <w:rPr>
          <w:i/>
        </w:rPr>
        <w:t>Crum v. Bridgestone/Firestone N. Amer. Tire</w:t>
      </w:r>
      <w:r>
        <w:t xml:space="preserve">, 907 A.2d 578 (Pa. Super. Ct. 2006) </w:t>
      </w:r>
      <w:r w:rsidRPr="00DA1925">
        <w:t>(adopting</w:t>
      </w:r>
      <w:r>
        <w:t xml:space="preserve"> the trade secret</w:t>
      </w:r>
      <w:r w:rsidRPr="00DA1925">
        <w:t xml:space="preserve"> standard from </w:t>
      </w:r>
      <w:r w:rsidR="00074BB2">
        <w:t>Restatement</w:t>
      </w:r>
      <w:r w:rsidRPr="00DA1925">
        <w:t xml:space="preserve"> (</w:t>
      </w:r>
      <w:r w:rsidR="00074BB2">
        <w:t>Second</w:t>
      </w:r>
      <w:r w:rsidRPr="00DA1925">
        <w:t xml:space="preserve">) </w:t>
      </w:r>
      <w:r w:rsidR="00074BB2">
        <w:t>of Torts</w:t>
      </w:r>
      <w:r w:rsidRPr="00DA1925">
        <w:t xml:space="preserve"> § 757 (1965)). </w:t>
      </w:r>
    </w:p>
    <w:p w14:paraId="0670FDE3" w14:textId="77777777" w:rsidR="00DA1925" w:rsidRDefault="00DA1925" w:rsidP="00C945E7">
      <w:pPr>
        <w:spacing w:line="276" w:lineRule="auto"/>
        <w:jc w:val="both"/>
      </w:pPr>
    </w:p>
    <w:p w14:paraId="75809C1B" w14:textId="7F494D55" w:rsidR="00AA5DD7" w:rsidRPr="00F70AD0" w:rsidRDefault="00353DAA" w:rsidP="00C945E7">
      <w:pPr>
        <w:spacing w:line="276" w:lineRule="auto"/>
        <w:jc w:val="both"/>
      </w:pPr>
      <w:r>
        <w:t xml:space="preserve">While any input received from a third party should be considered, an </w:t>
      </w:r>
      <w:r w:rsidR="00FA5F72">
        <w:t xml:space="preserve">agency </w:t>
      </w:r>
      <w:r w:rsidR="00AA5DD7" w:rsidRPr="00F70AD0">
        <w:t xml:space="preserve">is not </w:t>
      </w:r>
      <w:r w:rsidR="00FA5F72">
        <w:t xml:space="preserve">prohibited </w:t>
      </w:r>
      <w:r w:rsidR="00AA5DD7" w:rsidRPr="00F70AD0">
        <w:t xml:space="preserve">from releasing a </w:t>
      </w:r>
      <w:r>
        <w:t xml:space="preserve">record </w:t>
      </w:r>
      <w:r w:rsidR="00AA5DD7" w:rsidRPr="00F70AD0">
        <w:t>solely because a third</w:t>
      </w:r>
      <w:r w:rsidR="00FA5F72">
        <w:t xml:space="preserve"> </w:t>
      </w:r>
      <w:r w:rsidR="00AA5DD7" w:rsidRPr="00F70AD0">
        <w:t xml:space="preserve">party has </w:t>
      </w:r>
      <w:r>
        <w:t xml:space="preserve">recommended that the </w:t>
      </w:r>
      <w:r w:rsidR="00FA5F72">
        <w:t>a</w:t>
      </w:r>
      <w:r w:rsidR="00893812" w:rsidRPr="00F70AD0">
        <w:t xml:space="preserve">gency </w:t>
      </w:r>
      <w:r>
        <w:t>deny access</w:t>
      </w:r>
      <w:r w:rsidR="00AA5DD7" w:rsidRPr="00F70AD0">
        <w:t xml:space="preserve">. The </w:t>
      </w:r>
      <w:r w:rsidR="00FA5F72">
        <w:t>RTKL envisions agencies independently evaluating such claims before deciding whether to release or withhold a record that may constitute a trade secret or confidential proprietary information</w:t>
      </w:r>
      <w:r w:rsidR="00AA5DD7" w:rsidRPr="00F70AD0">
        <w:t>.</w:t>
      </w:r>
    </w:p>
    <w:sectPr w:rsidR="00AA5DD7" w:rsidRPr="00F70AD0" w:rsidSect="000A019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B0157" w14:textId="77777777" w:rsidR="00C92C1F" w:rsidRDefault="00C92C1F" w:rsidP="00F70AD0">
      <w:r>
        <w:separator/>
      </w:r>
    </w:p>
  </w:endnote>
  <w:endnote w:type="continuationSeparator" w:id="0">
    <w:p w14:paraId="6700699A" w14:textId="77777777" w:rsidR="00C92C1F" w:rsidRDefault="00C92C1F" w:rsidP="00F7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E431D" w14:textId="77777777" w:rsidR="00F70AD0" w:rsidRDefault="00F70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C2B52" w14:textId="77777777" w:rsidR="00F70AD0" w:rsidRDefault="00F70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12254" w14:textId="77777777" w:rsidR="00F70AD0" w:rsidRDefault="00F70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8DDB5" w14:textId="77777777" w:rsidR="00C92C1F" w:rsidRDefault="00C92C1F" w:rsidP="00F70AD0">
      <w:r>
        <w:separator/>
      </w:r>
    </w:p>
  </w:footnote>
  <w:footnote w:type="continuationSeparator" w:id="0">
    <w:p w14:paraId="2BA26EAE" w14:textId="77777777" w:rsidR="00C92C1F" w:rsidRDefault="00C92C1F" w:rsidP="00F70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0BB92" w14:textId="77777777" w:rsidR="00F70AD0" w:rsidRDefault="00F70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6CE3A" w14:textId="4F00A2B3" w:rsidR="00F70AD0" w:rsidRDefault="00F70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260C7" w14:textId="77777777" w:rsidR="00F70AD0" w:rsidRDefault="00F7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C2E93"/>
    <w:multiLevelType w:val="hybridMultilevel"/>
    <w:tmpl w:val="7130C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A163B"/>
    <w:multiLevelType w:val="hybridMultilevel"/>
    <w:tmpl w:val="329A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83F27"/>
    <w:multiLevelType w:val="hybridMultilevel"/>
    <w:tmpl w:val="F15A886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D7"/>
    <w:rsid w:val="00074BB2"/>
    <w:rsid w:val="000A0196"/>
    <w:rsid w:val="002D766F"/>
    <w:rsid w:val="00353DAA"/>
    <w:rsid w:val="00537323"/>
    <w:rsid w:val="006D384C"/>
    <w:rsid w:val="00763420"/>
    <w:rsid w:val="00840ACE"/>
    <w:rsid w:val="008446A5"/>
    <w:rsid w:val="00893812"/>
    <w:rsid w:val="00A779A9"/>
    <w:rsid w:val="00AA5DD7"/>
    <w:rsid w:val="00B1115B"/>
    <w:rsid w:val="00B27122"/>
    <w:rsid w:val="00C92C1F"/>
    <w:rsid w:val="00C945E7"/>
    <w:rsid w:val="00D059A6"/>
    <w:rsid w:val="00D55547"/>
    <w:rsid w:val="00DA1925"/>
    <w:rsid w:val="00F70AD0"/>
    <w:rsid w:val="00FA5F72"/>
    <w:rsid w:val="00FF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DEDF42"/>
  <w15:chartTrackingRefBased/>
  <w15:docId w15:val="{E4990A30-5D43-4E60-B272-5D73905F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0A0196"/>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0A0196"/>
    <w:pPr>
      <w:widowControl w:val="0"/>
      <w:shd w:val="clear" w:color="auto" w:fill="FFFFFF"/>
      <w:spacing w:before="280" w:after="280" w:line="274" w:lineRule="exact"/>
    </w:pPr>
    <w:rPr>
      <w:rFonts w:ascii="Arial" w:eastAsia="Arial" w:hAnsi="Arial" w:cs="Arial"/>
      <w:sz w:val="20"/>
      <w:szCs w:val="20"/>
    </w:rPr>
  </w:style>
  <w:style w:type="paragraph" w:styleId="ListParagraph">
    <w:name w:val="List Paragraph"/>
    <w:basedOn w:val="Normal"/>
    <w:uiPriority w:val="34"/>
    <w:qFormat/>
    <w:rsid w:val="00F70AD0"/>
    <w:pPr>
      <w:ind w:left="720"/>
      <w:contextualSpacing/>
    </w:pPr>
  </w:style>
  <w:style w:type="paragraph" w:styleId="Header">
    <w:name w:val="header"/>
    <w:basedOn w:val="Normal"/>
    <w:link w:val="HeaderChar"/>
    <w:rsid w:val="00F70AD0"/>
    <w:pPr>
      <w:tabs>
        <w:tab w:val="center" w:pos="4680"/>
        <w:tab w:val="right" w:pos="9360"/>
      </w:tabs>
    </w:pPr>
  </w:style>
  <w:style w:type="character" w:customStyle="1" w:styleId="HeaderChar">
    <w:name w:val="Header Char"/>
    <w:basedOn w:val="DefaultParagraphFont"/>
    <w:link w:val="Header"/>
    <w:rsid w:val="00F70AD0"/>
    <w:rPr>
      <w:sz w:val="24"/>
      <w:szCs w:val="24"/>
    </w:rPr>
  </w:style>
  <w:style w:type="paragraph" w:styleId="Footer">
    <w:name w:val="footer"/>
    <w:basedOn w:val="Normal"/>
    <w:link w:val="FooterChar"/>
    <w:rsid w:val="00F70AD0"/>
    <w:pPr>
      <w:tabs>
        <w:tab w:val="center" w:pos="4680"/>
        <w:tab w:val="right" w:pos="9360"/>
      </w:tabs>
    </w:pPr>
  </w:style>
  <w:style w:type="character" w:customStyle="1" w:styleId="FooterChar">
    <w:name w:val="Footer Char"/>
    <w:basedOn w:val="DefaultParagraphFont"/>
    <w:link w:val="Footer"/>
    <w:rsid w:val="00F70AD0"/>
    <w:rPr>
      <w:sz w:val="24"/>
      <w:szCs w:val="24"/>
    </w:rPr>
  </w:style>
  <w:style w:type="paragraph" w:styleId="BalloonText">
    <w:name w:val="Balloon Text"/>
    <w:basedOn w:val="Normal"/>
    <w:link w:val="BalloonTextChar"/>
    <w:rsid w:val="00A779A9"/>
    <w:rPr>
      <w:rFonts w:ascii="Segoe UI" w:hAnsi="Segoe UI" w:cs="Segoe UI"/>
      <w:sz w:val="18"/>
      <w:szCs w:val="18"/>
    </w:rPr>
  </w:style>
  <w:style w:type="character" w:customStyle="1" w:styleId="BalloonTextChar">
    <w:name w:val="Balloon Text Char"/>
    <w:basedOn w:val="DefaultParagraphFont"/>
    <w:link w:val="BalloonText"/>
    <w:rsid w:val="00A779A9"/>
    <w:rPr>
      <w:rFonts w:ascii="Segoe UI" w:hAnsi="Segoe UI" w:cs="Segoe UI"/>
      <w:sz w:val="18"/>
      <w:szCs w:val="18"/>
    </w:rPr>
  </w:style>
  <w:style w:type="character" w:styleId="CommentReference">
    <w:name w:val="annotation reference"/>
    <w:basedOn w:val="DefaultParagraphFont"/>
    <w:rsid w:val="00DA1925"/>
    <w:rPr>
      <w:sz w:val="16"/>
      <w:szCs w:val="16"/>
    </w:rPr>
  </w:style>
  <w:style w:type="paragraph" w:styleId="CommentText">
    <w:name w:val="annotation text"/>
    <w:basedOn w:val="Normal"/>
    <w:link w:val="CommentTextChar"/>
    <w:rsid w:val="00DA1925"/>
    <w:rPr>
      <w:sz w:val="20"/>
      <w:szCs w:val="20"/>
    </w:rPr>
  </w:style>
  <w:style w:type="character" w:customStyle="1" w:styleId="CommentTextChar">
    <w:name w:val="Comment Text Char"/>
    <w:basedOn w:val="DefaultParagraphFont"/>
    <w:link w:val="CommentText"/>
    <w:rsid w:val="00DA1925"/>
  </w:style>
  <w:style w:type="paragraph" w:styleId="CommentSubject">
    <w:name w:val="annotation subject"/>
    <w:basedOn w:val="CommentText"/>
    <w:next w:val="CommentText"/>
    <w:link w:val="CommentSubjectChar"/>
    <w:rsid w:val="00DA1925"/>
    <w:rPr>
      <w:b/>
      <w:bCs/>
    </w:rPr>
  </w:style>
  <w:style w:type="character" w:customStyle="1" w:styleId="CommentSubjectChar">
    <w:name w:val="Comment Subject Char"/>
    <w:basedOn w:val="CommentTextChar"/>
    <w:link w:val="CommentSubject"/>
    <w:rsid w:val="00DA1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B19BC-6602-4F74-968B-E5E34148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3270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Local and Commonwealth Agencies and third-parties should be aware of their obligations and rights under section 707 of the law when a Right-to-Know request seeks records involving trade secrets and confidential proprietary information that have been prov</vt:lpstr>
    </vt:vector>
  </TitlesOfParts>
  <Company>DCED</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and Commonwealth Agencies and third-parties should be aware of their obligations and rights under section 707 of the law when a Right-to-Know request seeks records involving trade secrets and confidential proprietary information that have been prov</dc:title>
  <dc:subject/>
  <dc:creator>Barry Fox</dc:creator>
  <cp:keywords/>
  <dc:description/>
  <cp:lastModifiedBy>Sostar, Janelle K</cp:lastModifiedBy>
  <cp:revision>2</cp:revision>
  <cp:lastPrinted>2018-08-28T21:32:00Z</cp:lastPrinted>
  <dcterms:created xsi:type="dcterms:W3CDTF">2020-06-16T16:32:00Z</dcterms:created>
  <dcterms:modified xsi:type="dcterms:W3CDTF">2020-06-16T16:32:00Z</dcterms:modified>
</cp:coreProperties>
</file>